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FCBA" w14:textId="6529C43F" w:rsidR="003B72BD" w:rsidRPr="003B72BD" w:rsidRDefault="003B72BD" w:rsidP="003B72BD">
      <w:pPr>
        <w:rPr>
          <w:b/>
          <w:bCs/>
          <w:u w:val="single"/>
        </w:rPr>
      </w:pPr>
      <w:r w:rsidRPr="003B72BD">
        <w:rPr>
          <w:b/>
          <w:bCs/>
          <w:u w:val="single"/>
        </w:rPr>
        <w:t xml:space="preserve">Boekenlijst BA1 </w:t>
      </w:r>
      <w:r>
        <w:rPr>
          <w:b/>
          <w:bCs/>
          <w:u w:val="single"/>
        </w:rPr>
        <w:t>archeologie</w:t>
      </w:r>
      <w:r w:rsidRPr="003B72BD">
        <w:rPr>
          <w:b/>
          <w:bCs/>
          <w:u w:val="single"/>
        </w:rPr>
        <w:t xml:space="preserve"> – semester 2</w:t>
      </w:r>
    </w:p>
    <w:p w14:paraId="76EF4183" w14:textId="0AC889DA" w:rsidR="003B72BD" w:rsidRPr="003B72BD" w:rsidRDefault="003B72BD" w:rsidP="003B72BD">
      <w:r w:rsidRPr="003B72BD">
        <w:rPr>
          <w:noProof/>
          <w:lang w:val="nl-BE"/>
        </w:rPr>
        <w:drawing>
          <wp:anchor distT="0" distB="0" distL="114300" distR="114300" simplePos="0" relativeHeight="251659264" behindDoc="0" locked="0" layoutInCell="1" allowOverlap="1" wp14:anchorId="7BB41D96" wp14:editId="245FD058">
            <wp:simplePos x="0" y="0"/>
            <wp:positionH relativeFrom="margin">
              <wp:align>right</wp:align>
            </wp:positionH>
            <wp:positionV relativeFrom="paragraph">
              <wp:posOffset>10795</wp:posOffset>
            </wp:positionV>
            <wp:extent cx="1306830" cy="1516380"/>
            <wp:effectExtent l="0" t="0" r="7620" b="7620"/>
            <wp:wrapThrough wrapText="bothSides">
              <wp:wrapPolygon edited="0">
                <wp:start x="0" y="0"/>
                <wp:lineTo x="0" y="15196"/>
                <wp:lineTo x="945" y="18181"/>
                <wp:lineTo x="7557" y="21437"/>
                <wp:lineTo x="9131" y="21437"/>
                <wp:lineTo x="12280" y="21437"/>
                <wp:lineTo x="13539" y="21437"/>
                <wp:lineTo x="20466" y="17910"/>
                <wp:lineTo x="21411" y="15196"/>
                <wp:lineTo x="21411" y="0"/>
                <wp:lineTo x="0" y="0"/>
              </wp:wrapPolygon>
            </wp:wrapThrough>
            <wp:docPr id="20544092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830" cy="1516380"/>
                    </a:xfrm>
                    <a:prstGeom prst="rect">
                      <a:avLst/>
                    </a:prstGeom>
                    <a:noFill/>
                  </pic:spPr>
                </pic:pic>
              </a:graphicData>
            </a:graphic>
            <wp14:sizeRelH relativeFrom="margin">
              <wp14:pctWidth>0</wp14:pctWidth>
            </wp14:sizeRelH>
            <wp14:sizeRelV relativeFrom="margin">
              <wp14:pctHeight>0</wp14:pctHeight>
            </wp14:sizeRelV>
          </wp:anchor>
        </w:drawing>
      </w:r>
      <w:r w:rsidRPr="003B72BD">
        <w:t>Alle boeken van kunstwetenschappen en archeologie kunnen gekocht worden tijdens onze permanenties in de kelder van de Blandijn! Boeken van algemene vakken worden door andere kringen aangeboden. Voor meer informatie of updates omtrent de boeken hou je best de Facebook of de aankondigingen op Ufora in de gaten.</w:t>
      </w:r>
    </w:p>
    <w:p w14:paraId="53B1258A" w14:textId="77777777" w:rsidR="003B72BD" w:rsidRPr="003B72BD" w:rsidRDefault="003B72BD" w:rsidP="003B72BD">
      <w:r w:rsidRPr="003B72BD">
        <w:t>Leden zijn personen die een KHK lidkaart van 2024-2025 hebben.</w:t>
      </w:r>
    </w:p>
    <w:p w14:paraId="4DFA0F26" w14:textId="77777777" w:rsidR="003B72BD" w:rsidRPr="003B72BD" w:rsidRDefault="003B72BD" w:rsidP="003B72BD">
      <w:r w:rsidRPr="003B72BD">
        <w:rPr>
          <w:lang w:val="nl-BE"/>
        </w:rPr>
        <w:t xml:space="preserve">KHK werkt voor de boekenverkoop samen met Standaard Boekhandel om zo voordelig mogelijk het studiemateriaal aan te bieden. </w:t>
      </w:r>
    </w:p>
    <w:p w14:paraId="0D2413DA" w14:textId="77777777" w:rsidR="003B72BD" w:rsidRPr="003B72BD" w:rsidRDefault="003B72BD" w:rsidP="003B72BD">
      <w:pPr>
        <w:rPr>
          <w:b/>
          <w:bCs/>
          <w:u w:val="single"/>
        </w:rPr>
      </w:pPr>
      <w:r w:rsidRPr="003B72BD">
        <w:rPr>
          <w:b/>
          <w:bCs/>
          <w:u w:val="single"/>
        </w:rPr>
        <w:t>Verplichte boeken</w:t>
      </w:r>
    </w:p>
    <w:tbl>
      <w:tblPr>
        <w:tblStyle w:val="Tabelraster"/>
        <w:tblW w:w="0" w:type="auto"/>
        <w:tblLook w:val="04A0" w:firstRow="1" w:lastRow="0" w:firstColumn="1" w:lastColumn="0" w:noHBand="0" w:noVBand="1"/>
      </w:tblPr>
      <w:tblGrid>
        <w:gridCol w:w="2370"/>
        <w:gridCol w:w="2398"/>
        <w:gridCol w:w="2147"/>
        <w:gridCol w:w="2147"/>
      </w:tblGrid>
      <w:tr w:rsidR="003B72BD" w:rsidRPr="003B72BD" w14:paraId="78E1D66E" w14:textId="77777777" w:rsidTr="00593972">
        <w:tc>
          <w:tcPr>
            <w:tcW w:w="2370" w:type="dxa"/>
            <w:tcBorders>
              <w:top w:val="single" w:sz="4" w:space="0" w:color="auto"/>
              <w:left w:val="single" w:sz="4" w:space="0" w:color="auto"/>
              <w:bottom w:val="single" w:sz="4" w:space="0" w:color="auto"/>
              <w:right w:val="single" w:sz="4" w:space="0" w:color="auto"/>
            </w:tcBorders>
            <w:hideMark/>
          </w:tcPr>
          <w:p w14:paraId="3C1A4D04" w14:textId="77777777" w:rsidR="003B72BD" w:rsidRPr="003B72BD" w:rsidRDefault="003B72BD" w:rsidP="003B72BD">
            <w:pPr>
              <w:spacing w:after="160" w:line="259" w:lineRule="auto"/>
              <w:rPr>
                <w:b/>
                <w:bCs/>
              </w:rPr>
            </w:pPr>
            <w:r w:rsidRPr="003B72BD">
              <w:rPr>
                <w:b/>
                <w:bCs/>
              </w:rPr>
              <w:t>VAK</w:t>
            </w:r>
          </w:p>
        </w:tc>
        <w:tc>
          <w:tcPr>
            <w:tcW w:w="2398" w:type="dxa"/>
            <w:tcBorders>
              <w:top w:val="single" w:sz="4" w:space="0" w:color="auto"/>
              <w:left w:val="single" w:sz="4" w:space="0" w:color="auto"/>
              <w:bottom w:val="single" w:sz="4" w:space="0" w:color="auto"/>
              <w:right w:val="single" w:sz="4" w:space="0" w:color="auto"/>
            </w:tcBorders>
            <w:hideMark/>
          </w:tcPr>
          <w:p w14:paraId="58095C7B" w14:textId="77777777" w:rsidR="003B72BD" w:rsidRPr="003B72BD" w:rsidRDefault="003B72BD" w:rsidP="003B72BD">
            <w:pPr>
              <w:spacing w:after="160" w:line="259" w:lineRule="auto"/>
              <w:rPr>
                <w:b/>
              </w:rPr>
            </w:pPr>
            <w:r w:rsidRPr="003B72BD">
              <w:rPr>
                <w:b/>
              </w:rPr>
              <w:t>BOEK</w:t>
            </w:r>
          </w:p>
        </w:tc>
        <w:tc>
          <w:tcPr>
            <w:tcW w:w="2147" w:type="dxa"/>
            <w:tcBorders>
              <w:top w:val="single" w:sz="4" w:space="0" w:color="auto"/>
              <w:left w:val="single" w:sz="4" w:space="0" w:color="auto"/>
              <w:bottom w:val="single" w:sz="4" w:space="0" w:color="auto"/>
              <w:right w:val="single" w:sz="4" w:space="0" w:color="auto"/>
            </w:tcBorders>
            <w:hideMark/>
          </w:tcPr>
          <w:p w14:paraId="7A2DC634" w14:textId="77777777" w:rsidR="003B72BD" w:rsidRPr="003B72BD" w:rsidRDefault="003B72BD" w:rsidP="003B72BD">
            <w:pPr>
              <w:spacing w:after="160" w:line="259" w:lineRule="auto"/>
              <w:rPr>
                <w:b/>
                <w:bCs/>
              </w:rPr>
            </w:pPr>
            <w:r w:rsidRPr="003B72BD">
              <w:rPr>
                <w:b/>
                <w:bCs/>
              </w:rPr>
              <w:t>PRIJS LEDEN</w:t>
            </w:r>
          </w:p>
        </w:tc>
        <w:tc>
          <w:tcPr>
            <w:tcW w:w="2147" w:type="dxa"/>
            <w:tcBorders>
              <w:top w:val="single" w:sz="4" w:space="0" w:color="auto"/>
              <w:left w:val="single" w:sz="4" w:space="0" w:color="auto"/>
              <w:bottom w:val="single" w:sz="4" w:space="0" w:color="auto"/>
              <w:right w:val="single" w:sz="4" w:space="0" w:color="auto"/>
            </w:tcBorders>
            <w:hideMark/>
          </w:tcPr>
          <w:p w14:paraId="4919ABD5" w14:textId="77777777" w:rsidR="003B72BD" w:rsidRPr="003B72BD" w:rsidRDefault="003B72BD" w:rsidP="003B72BD">
            <w:pPr>
              <w:spacing w:after="160" w:line="259" w:lineRule="auto"/>
              <w:rPr>
                <w:b/>
                <w:bCs/>
              </w:rPr>
            </w:pPr>
            <w:r w:rsidRPr="003B72BD">
              <w:rPr>
                <w:b/>
                <w:bCs/>
              </w:rPr>
              <w:t>PRIJS NIET LEDEN</w:t>
            </w:r>
          </w:p>
        </w:tc>
      </w:tr>
      <w:tr w:rsidR="003B72BD" w:rsidRPr="003B72BD" w14:paraId="7D3DE677" w14:textId="77777777" w:rsidTr="00593972">
        <w:tc>
          <w:tcPr>
            <w:tcW w:w="2370" w:type="dxa"/>
            <w:tcBorders>
              <w:top w:val="single" w:sz="4" w:space="0" w:color="auto"/>
              <w:left w:val="single" w:sz="4" w:space="0" w:color="auto"/>
              <w:bottom w:val="single" w:sz="4" w:space="0" w:color="auto"/>
              <w:right w:val="single" w:sz="4" w:space="0" w:color="auto"/>
            </w:tcBorders>
            <w:hideMark/>
          </w:tcPr>
          <w:p w14:paraId="0AEC21D1" w14:textId="77777777" w:rsidR="003B72BD" w:rsidRPr="003B72BD" w:rsidRDefault="003B72BD" w:rsidP="003B72BD">
            <w:pPr>
              <w:spacing w:after="160" w:line="259" w:lineRule="auto"/>
            </w:pPr>
            <w:r w:rsidRPr="003B72BD">
              <w:t>Visuele cultuur</w:t>
            </w:r>
          </w:p>
        </w:tc>
        <w:tc>
          <w:tcPr>
            <w:tcW w:w="2398" w:type="dxa"/>
            <w:tcBorders>
              <w:top w:val="single" w:sz="4" w:space="0" w:color="auto"/>
              <w:left w:val="single" w:sz="4" w:space="0" w:color="auto"/>
              <w:bottom w:val="single" w:sz="4" w:space="0" w:color="auto"/>
              <w:right w:val="single" w:sz="4" w:space="0" w:color="auto"/>
            </w:tcBorders>
            <w:hideMark/>
          </w:tcPr>
          <w:p w14:paraId="1FD9F91D" w14:textId="77777777" w:rsidR="003B72BD" w:rsidRPr="003B72BD" w:rsidRDefault="003B72BD" w:rsidP="003B72BD">
            <w:pPr>
              <w:spacing w:after="160" w:line="259" w:lineRule="auto"/>
            </w:pPr>
            <w:r w:rsidRPr="003B72BD">
              <w:t>Another History of Art</w:t>
            </w:r>
          </w:p>
        </w:tc>
        <w:tc>
          <w:tcPr>
            <w:tcW w:w="2147" w:type="dxa"/>
            <w:tcBorders>
              <w:top w:val="single" w:sz="4" w:space="0" w:color="auto"/>
              <w:left w:val="single" w:sz="4" w:space="0" w:color="auto"/>
              <w:bottom w:val="single" w:sz="4" w:space="0" w:color="auto"/>
              <w:right w:val="single" w:sz="4" w:space="0" w:color="auto"/>
            </w:tcBorders>
            <w:hideMark/>
          </w:tcPr>
          <w:p w14:paraId="08368B21" w14:textId="77777777" w:rsidR="003B72BD" w:rsidRPr="003B72BD" w:rsidRDefault="003B72BD" w:rsidP="003B72BD">
            <w:pPr>
              <w:spacing w:after="160" w:line="259" w:lineRule="auto"/>
            </w:pPr>
            <w:r w:rsidRPr="003B72BD">
              <w:t>€53</w:t>
            </w:r>
          </w:p>
        </w:tc>
        <w:tc>
          <w:tcPr>
            <w:tcW w:w="2147" w:type="dxa"/>
            <w:tcBorders>
              <w:top w:val="single" w:sz="4" w:space="0" w:color="auto"/>
              <w:left w:val="single" w:sz="4" w:space="0" w:color="auto"/>
              <w:bottom w:val="single" w:sz="4" w:space="0" w:color="auto"/>
              <w:right w:val="single" w:sz="4" w:space="0" w:color="auto"/>
            </w:tcBorders>
            <w:hideMark/>
          </w:tcPr>
          <w:p w14:paraId="2F84304E" w14:textId="77777777" w:rsidR="003B72BD" w:rsidRPr="003B72BD" w:rsidRDefault="003B72BD" w:rsidP="003B72BD">
            <w:pPr>
              <w:spacing w:after="160" w:line="259" w:lineRule="auto"/>
            </w:pPr>
            <w:r w:rsidRPr="003B72BD">
              <w:t>€56</w:t>
            </w:r>
          </w:p>
        </w:tc>
      </w:tr>
      <w:tr w:rsidR="003B72BD" w:rsidRPr="003B72BD" w14:paraId="5966E812" w14:textId="77777777" w:rsidTr="00593972">
        <w:tc>
          <w:tcPr>
            <w:tcW w:w="2370" w:type="dxa"/>
            <w:tcBorders>
              <w:top w:val="single" w:sz="4" w:space="0" w:color="auto"/>
              <w:left w:val="single" w:sz="4" w:space="0" w:color="auto"/>
              <w:bottom w:val="single" w:sz="4" w:space="0" w:color="auto"/>
              <w:right w:val="single" w:sz="4" w:space="0" w:color="auto"/>
            </w:tcBorders>
            <w:hideMark/>
          </w:tcPr>
          <w:p w14:paraId="63C64B2B" w14:textId="65F6489F" w:rsidR="003B72BD" w:rsidRPr="003B72BD" w:rsidRDefault="003B72BD" w:rsidP="003B72BD">
            <w:pPr>
              <w:spacing w:after="160" w:line="259" w:lineRule="auto"/>
              <w:rPr>
                <w:lang w:val="nl-BE"/>
              </w:rPr>
            </w:pPr>
            <w:r>
              <w:rPr>
                <w:lang w:val="nl-BE"/>
              </w:rPr>
              <w:t>Inleiding tot de natuurwetenschappen in de archeologie</w:t>
            </w:r>
          </w:p>
        </w:tc>
        <w:tc>
          <w:tcPr>
            <w:tcW w:w="2398" w:type="dxa"/>
            <w:tcBorders>
              <w:top w:val="single" w:sz="4" w:space="0" w:color="auto"/>
              <w:left w:val="single" w:sz="4" w:space="0" w:color="auto"/>
              <w:bottom w:val="single" w:sz="4" w:space="0" w:color="auto"/>
              <w:right w:val="single" w:sz="4" w:space="0" w:color="auto"/>
            </w:tcBorders>
            <w:hideMark/>
          </w:tcPr>
          <w:p w14:paraId="493E9F37" w14:textId="469BC6FF" w:rsidR="003B72BD" w:rsidRPr="003B72BD" w:rsidRDefault="003B72BD" w:rsidP="003B72BD">
            <w:pPr>
              <w:spacing w:after="160" w:line="259" w:lineRule="auto"/>
              <w:rPr>
                <w:i/>
                <w:iCs/>
                <w:lang w:val="nl-BE"/>
              </w:rPr>
            </w:pPr>
            <w:r>
              <w:rPr>
                <w:i/>
                <w:iCs/>
                <w:lang w:val="nl-BE"/>
              </w:rPr>
              <w:t>Natuurwetenschappen en archeologie</w:t>
            </w:r>
          </w:p>
        </w:tc>
        <w:tc>
          <w:tcPr>
            <w:tcW w:w="2147" w:type="dxa"/>
            <w:tcBorders>
              <w:top w:val="single" w:sz="4" w:space="0" w:color="auto"/>
              <w:left w:val="single" w:sz="4" w:space="0" w:color="auto"/>
              <w:bottom w:val="single" w:sz="4" w:space="0" w:color="auto"/>
              <w:right w:val="single" w:sz="4" w:space="0" w:color="auto"/>
            </w:tcBorders>
            <w:hideMark/>
          </w:tcPr>
          <w:p w14:paraId="026EDEB8" w14:textId="31BF0C9E" w:rsidR="003B72BD" w:rsidRPr="003B72BD" w:rsidRDefault="003B72BD" w:rsidP="003B72BD">
            <w:pPr>
              <w:spacing w:after="160" w:line="259" w:lineRule="auto"/>
            </w:pPr>
            <w:r w:rsidRPr="003B72BD">
              <w:t>€</w:t>
            </w:r>
            <w:r>
              <w:t>36</w:t>
            </w:r>
          </w:p>
        </w:tc>
        <w:tc>
          <w:tcPr>
            <w:tcW w:w="2147" w:type="dxa"/>
            <w:tcBorders>
              <w:top w:val="single" w:sz="4" w:space="0" w:color="auto"/>
              <w:left w:val="single" w:sz="4" w:space="0" w:color="auto"/>
              <w:bottom w:val="single" w:sz="4" w:space="0" w:color="auto"/>
              <w:right w:val="single" w:sz="4" w:space="0" w:color="auto"/>
            </w:tcBorders>
            <w:hideMark/>
          </w:tcPr>
          <w:p w14:paraId="7262F53C" w14:textId="5B98FF8F" w:rsidR="003B72BD" w:rsidRPr="003B72BD" w:rsidRDefault="003B72BD" w:rsidP="003B72BD">
            <w:pPr>
              <w:spacing w:after="160" w:line="259" w:lineRule="auto"/>
            </w:pPr>
            <w:r w:rsidRPr="003B72BD">
              <w:t>€</w:t>
            </w:r>
            <w:r>
              <w:t>38</w:t>
            </w:r>
          </w:p>
        </w:tc>
      </w:tr>
    </w:tbl>
    <w:p w14:paraId="68FE3CB0" w14:textId="77777777" w:rsidR="003B72BD" w:rsidRPr="003B72BD" w:rsidRDefault="003B72BD" w:rsidP="003B72BD">
      <w:pPr>
        <w:rPr>
          <w:lang w:val="en-US"/>
        </w:rPr>
      </w:pPr>
    </w:p>
    <w:p w14:paraId="7C6B1429" w14:textId="77777777" w:rsidR="003B72BD" w:rsidRPr="003B72BD" w:rsidRDefault="003B72BD" w:rsidP="003B72BD">
      <w:pPr>
        <w:rPr>
          <w:lang w:val="en-US"/>
        </w:rPr>
      </w:pPr>
    </w:p>
    <w:p w14:paraId="32F15C23" w14:textId="77777777" w:rsidR="003B72BD" w:rsidRPr="003B72BD" w:rsidRDefault="003B72BD" w:rsidP="003B72BD">
      <w:pPr>
        <w:rPr>
          <w:b/>
          <w:bCs/>
          <w:u w:val="single"/>
        </w:rPr>
      </w:pPr>
      <w:r w:rsidRPr="003B72BD">
        <w:rPr>
          <w:b/>
          <w:bCs/>
          <w:u w:val="single"/>
        </w:rPr>
        <w:t>Algemene vakken</w:t>
      </w:r>
    </w:p>
    <w:p w14:paraId="70686C46" w14:textId="77777777" w:rsidR="003B72BD" w:rsidRPr="003B72BD" w:rsidRDefault="003B72BD" w:rsidP="003B72BD">
      <w:pPr>
        <w:numPr>
          <w:ilvl w:val="0"/>
          <w:numId w:val="1"/>
        </w:numPr>
        <w:rPr>
          <w:u w:val="single"/>
        </w:rPr>
      </w:pPr>
      <w:r w:rsidRPr="003B72BD">
        <w:rPr>
          <w:u w:val="single"/>
        </w:rPr>
        <w:t>Inleiding tot de antropologie</w:t>
      </w:r>
    </w:p>
    <w:p w14:paraId="710EB728" w14:textId="77777777" w:rsidR="003B72BD" w:rsidRPr="003B72BD" w:rsidRDefault="003B72BD" w:rsidP="003B72BD">
      <w:r w:rsidRPr="003B72BD">
        <w:sym w:font="Wingdings" w:char="F0E0"/>
      </w:r>
      <w:r w:rsidRPr="003B72BD">
        <w:t xml:space="preserve"> wordt door de O.A.K. aangeboden</w:t>
      </w:r>
    </w:p>
    <w:p w14:paraId="5C9571F1" w14:textId="77777777" w:rsidR="003B72BD" w:rsidRPr="003B72BD" w:rsidRDefault="003B72BD" w:rsidP="003B72BD">
      <w:r w:rsidRPr="003B72BD">
        <w:t>Deze boeken zullen waarschijnlijk tijdens de eerste week voor de aula verkocht worden, maar moest er iets niet duidelijk zijn mogen jullie ons altijd een berichtje sturen.</w:t>
      </w:r>
    </w:p>
    <w:p w14:paraId="6C41007E" w14:textId="77777777" w:rsidR="003B72BD" w:rsidRPr="003B72BD" w:rsidRDefault="003B72BD" w:rsidP="003B72BD"/>
    <w:p w14:paraId="14BCC8BA" w14:textId="77777777" w:rsidR="003B72BD" w:rsidRPr="003B72BD" w:rsidRDefault="003B72BD" w:rsidP="003B72BD"/>
    <w:p w14:paraId="65A40E44" w14:textId="77777777" w:rsidR="009D74EC" w:rsidRDefault="009D74EC"/>
    <w:sectPr w:rsidR="009D7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182038"/>
    <w:multiLevelType w:val="hybridMultilevel"/>
    <w:tmpl w:val="C40468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212048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BD"/>
    <w:rsid w:val="003B72BD"/>
    <w:rsid w:val="00586BDE"/>
    <w:rsid w:val="00593972"/>
    <w:rsid w:val="006D4787"/>
    <w:rsid w:val="009D74EC"/>
    <w:rsid w:val="00FD5B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7451"/>
  <w15:chartTrackingRefBased/>
  <w15:docId w15:val="{3F476568-9D0D-48B9-A2B7-D9B6AC0D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3B7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7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72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72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72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72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72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72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72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2BD"/>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3B72BD"/>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3B72BD"/>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3B72BD"/>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3B72BD"/>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3B72BD"/>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3B72BD"/>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3B72BD"/>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3B72BD"/>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3B7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2BD"/>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3B72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2BD"/>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3B72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2BD"/>
    <w:rPr>
      <w:i/>
      <w:iCs/>
      <w:color w:val="404040" w:themeColor="text1" w:themeTint="BF"/>
      <w:lang w:val="nl-NL"/>
    </w:rPr>
  </w:style>
  <w:style w:type="paragraph" w:styleId="Lijstalinea">
    <w:name w:val="List Paragraph"/>
    <w:basedOn w:val="Standaard"/>
    <w:uiPriority w:val="34"/>
    <w:qFormat/>
    <w:rsid w:val="003B72BD"/>
    <w:pPr>
      <w:ind w:left="720"/>
      <w:contextualSpacing/>
    </w:pPr>
  </w:style>
  <w:style w:type="character" w:styleId="Intensievebenadrukking">
    <w:name w:val="Intense Emphasis"/>
    <w:basedOn w:val="Standaardalinea-lettertype"/>
    <w:uiPriority w:val="21"/>
    <w:qFormat/>
    <w:rsid w:val="003B72BD"/>
    <w:rPr>
      <w:i/>
      <w:iCs/>
      <w:color w:val="0F4761" w:themeColor="accent1" w:themeShade="BF"/>
    </w:rPr>
  </w:style>
  <w:style w:type="paragraph" w:styleId="Duidelijkcitaat">
    <w:name w:val="Intense Quote"/>
    <w:basedOn w:val="Standaard"/>
    <w:next w:val="Standaard"/>
    <w:link w:val="DuidelijkcitaatChar"/>
    <w:uiPriority w:val="30"/>
    <w:qFormat/>
    <w:rsid w:val="003B7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72BD"/>
    <w:rPr>
      <w:i/>
      <w:iCs/>
      <w:color w:val="0F4761" w:themeColor="accent1" w:themeShade="BF"/>
      <w:lang w:val="nl-NL"/>
    </w:rPr>
  </w:style>
  <w:style w:type="character" w:styleId="Intensieveverwijzing">
    <w:name w:val="Intense Reference"/>
    <w:basedOn w:val="Standaardalinea-lettertype"/>
    <w:uiPriority w:val="32"/>
    <w:qFormat/>
    <w:rsid w:val="003B72BD"/>
    <w:rPr>
      <w:b/>
      <w:bCs/>
      <w:smallCaps/>
      <w:color w:val="0F4761" w:themeColor="accent1" w:themeShade="BF"/>
      <w:spacing w:val="5"/>
    </w:rPr>
  </w:style>
  <w:style w:type="table" w:styleId="Tabelraster">
    <w:name w:val="Table Grid"/>
    <w:basedOn w:val="Standaardtabel"/>
    <w:uiPriority w:val="39"/>
    <w:rsid w:val="003B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3549">
      <w:bodyDiv w:val="1"/>
      <w:marLeft w:val="0"/>
      <w:marRight w:val="0"/>
      <w:marTop w:val="0"/>
      <w:marBottom w:val="0"/>
      <w:divBdr>
        <w:top w:val="none" w:sz="0" w:space="0" w:color="auto"/>
        <w:left w:val="none" w:sz="0" w:space="0" w:color="auto"/>
        <w:bottom w:val="none" w:sz="0" w:space="0" w:color="auto"/>
        <w:right w:val="none" w:sz="0" w:space="0" w:color="auto"/>
      </w:divBdr>
    </w:div>
    <w:div w:id="12944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847</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Dedroog</dc:creator>
  <cp:keywords/>
  <dc:description/>
  <cp:lastModifiedBy>Julie Dedroog</cp:lastModifiedBy>
  <cp:revision>2</cp:revision>
  <dcterms:created xsi:type="dcterms:W3CDTF">2025-02-09T13:02:00Z</dcterms:created>
  <dcterms:modified xsi:type="dcterms:W3CDTF">2025-02-16T18:28:00Z</dcterms:modified>
</cp:coreProperties>
</file>